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75" w:lineRule="atLeast"/>
        <w:rPr>
          <w:rFonts w:hint="eastAsia" w:ascii="黑体" w:hAnsi="黑体" w:eastAsia="黑体" w:cs="宋体"/>
          <w:bCs/>
          <w:color w:val="auto"/>
          <w:kern w:val="0"/>
          <w:sz w:val="30"/>
          <w:szCs w:val="30"/>
        </w:rPr>
      </w:pPr>
      <w:r>
        <w:rPr>
          <w:rFonts w:hint="eastAsia" w:ascii="黑体" w:hAnsi="黑体" w:eastAsia="黑体" w:cs="宋体"/>
          <w:bCs/>
          <w:color w:val="auto"/>
          <w:kern w:val="0"/>
          <w:sz w:val="30"/>
          <w:szCs w:val="30"/>
        </w:rPr>
        <w:t>附件1</w:t>
      </w:r>
    </w:p>
    <w:p>
      <w:pPr>
        <w:pStyle w:val="4"/>
        <w:widowControl/>
        <w:spacing w:line="375" w:lineRule="atLeast"/>
        <w:jc w:val="center"/>
        <w:rPr>
          <w:rFonts w:hint="eastAsia" w:ascii="方正小标宋简体" w:hAnsi="宋体" w:eastAsia="方正小标宋简体" w:cs="宋体"/>
          <w:bCs/>
          <w:color w:val="auto"/>
          <w:kern w:val="0"/>
          <w:sz w:val="30"/>
          <w:szCs w:val="30"/>
        </w:rPr>
      </w:pPr>
      <w:r>
        <w:rPr>
          <w:rFonts w:hint="eastAsia" w:ascii="方正小标宋简体" w:hAnsi="宋体" w:eastAsia="方正小标宋简体" w:cs="宋体"/>
          <w:bCs/>
          <w:color w:val="auto"/>
          <w:kern w:val="0"/>
          <w:sz w:val="30"/>
          <w:szCs w:val="30"/>
          <w:lang w:val="en-US" w:eastAsia="zh-CN"/>
        </w:rPr>
        <w:t>2020年</w:t>
      </w:r>
      <w:r>
        <w:rPr>
          <w:rFonts w:hint="eastAsia" w:ascii="方正小标宋简体" w:hAnsi="宋体" w:eastAsia="方正小标宋简体" w:cs="宋体"/>
          <w:bCs/>
          <w:color w:val="auto"/>
          <w:kern w:val="0"/>
          <w:sz w:val="30"/>
          <w:szCs w:val="30"/>
        </w:rPr>
        <w:t>现场快速检测试剂</w:t>
      </w:r>
      <w:r>
        <w:rPr>
          <w:rFonts w:hint="eastAsia" w:ascii="方正小标宋简体" w:hAnsi="宋体" w:eastAsia="方正小标宋简体" w:cs="宋体"/>
          <w:bCs/>
          <w:color w:val="auto"/>
          <w:kern w:val="0"/>
          <w:sz w:val="30"/>
          <w:szCs w:val="30"/>
          <w:lang w:eastAsia="zh-CN"/>
        </w:rPr>
        <w:t>及个人防护用品</w:t>
      </w:r>
      <w:r>
        <w:rPr>
          <w:rFonts w:hint="eastAsia" w:ascii="方正小标宋简体" w:hAnsi="宋体" w:eastAsia="方正小标宋简体" w:cs="宋体"/>
          <w:bCs/>
          <w:color w:val="auto"/>
          <w:kern w:val="0"/>
          <w:sz w:val="30"/>
          <w:szCs w:val="30"/>
        </w:rPr>
        <w:t>采购需求</w:t>
      </w:r>
      <w:r>
        <w:rPr>
          <w:rFonts w:hint="eastAsia" w:ascii="方正小标宋简体" w:hAnsi="宋体" w:eastAsia="方正小标宋简体" w:cs="宋体"/>
          <w:bCs/>
          <w:color w:val="auto"/>
          <w:kern w:val="0"/>
          <w:sz w:val="30"/>
          <w:szCs w:val="30"/>
          <w:lang w:eastAsia="zh-CN"/>
        </w:rPr>
        <w:t>书</w:t>
      </w:r>
    </w:p>
    <w:p>
      <w:pPr>
        <w:numPr>
          <w:ilvl w:val="0"/>
          <w:numId w:val="0"/>
        </w:numPr>
        <w:ind w:firstLine="560" w:firstLineChars="200"/>
        <w:rPr>
          <w:rFonts w:hint="eastAsia" w:ascii="仿宋" w:hAnsi="仿宋" w:eastAsia="仿宋"/>
          <w:b/>
          <w:color w:val="FF0000"/>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采购项目技术规格、参数及要求</w:t>
      </w:r>
    </w:p>
    <w:p>
      <w:pPr>
        <w:numPr>
          <w:ilvl w:val="0"/>
          <w:numId w:val="0"/>
        </w:numPr>
        <w:ind w:firstLine="560" w:firstLineChars="200"/>
        <w:rPr>
          <w:rFonts w:hint="eastAsia" w:ascii="仿宋" w:hAnsi="仿宋" w:eastAsia="仿宋"/>
          <w:b/>
          <w:color w:val="FF0000"/>
          <w:sz w:val="28"/>
          <w:szCs w:val="28"/>
        </w:rPr>
      </w:pPr>
      <w:r>
        <w:rPr>
          <w:rFonts w:hint="eastAsia" w:ascii="仿宋" w:hAnsi="仿宋" w:eastAsia="仿宋"/>
          <w:sz w:val="28"/>
          <w:szCs w:val="28"/>
          <w:lang w:val="en-US" w:eastAsia="zh-CN"/>
        </w:rPr>
        <w:t>1.</w:t>
      </w:r>
      <w:r>
        <w:rPr>
          <w:rFonts w:hint="eastAsia" w:ascii="仿宋" w:hAnsi="仿宋" w:eastAsia="仿宋"/>
          <w:sz w:val="28"/>
          <w:szCs w:val="28"/>
        </w:rPr>
        <w:t>本项目预算金额为人民币：</w:t>
      </w:r>
      <w:r>
        <w:rPr>
          <w:rFonts w:hint="eastAsia" w:ascii="仿宋" w:hAnsi="仿宋" w:eastAsia="仿宋"/>
          <w:sz w:val="28"/>
          <w:szCs w:val="28"/>
          <w:lang w:val="en-US" w:eastAsia="zh-CN"/>
        </w:rPr>
        <w:t xml:space="preserve">67000 </w:t>
      </w:r>
      <w:r>
        <w:rPr>
          <w:rFonts w:hint="eastAsia" w:ascii="仿宋" w:hAnsi="仿宋" w:eastAsia="仿宋"/>
          <w:sz w:val="28"/>
          <w:szCs w:val="28"/>
        </w:rPr>
        <w:t>元</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采购项目技术规格、</w:t>
      </w:r>
      <w:r>
        <w:rPr>
          <w:rFonts w:hint="eastAsia" w:ascii="仿宋" w:hAnsi="仿宋" w:eastAsia="仿宋"/>
          <w:sz w:val="28"/>
          <w:szCs w:val="28"/>
          <w:lang w:eastAsia="zh-CN"/>
        </w:rPr>
        <w:t>数量</w:t>
      </w:r>
      <w:r>
        <w:rPr>
          <w:rFonts w:hint="eastAsia" w:ascii="仿宋" w:hAnsi="仿宋" w:eastAsia="仿宋"/>
          <w:sz w:val="28"/>
          <w:szCs w:val="28"/>
        </w:rPr>
        <w:t>及要求:</w:t>
      </w:r>
    </w:p>
    <w:tbl>
      <w:tblPr>
        <w:tblStyle w:val="3"/>
        <w:tblW w:w="903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1"/>
        <w:gridCol w:w="2342"/>
        <w:gridCol w:w="2116"/>
        <w:gridCol w:w="822"/>
        <w:gridCol w:w="900"/>
        <w:gridCol w:w="2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tblHeader/>
          <w:jc w:val="center"/>
        </w:trPr>
        <w:tc>
          <w:tcPr>
            <w:tcW w:w="571" w:type="dxa"/>
            <w:tcBorders>
              <w:top w:val="single" w:color="auto" w:sz="4" w:space="0"/>
              <w:left w:val="single" w:color="auto" w:sz="4" w:space="0"/>
              <w:bottom w:val="single" w:color="auto" w:sz="4" w:space="0"/>
              <w:right w:val="single" w:color="auto" w:sz="4" w:space="0"/>
            </w:tcBorders>
            <w:shd w:val="clear" w:color="auto" w:fill="CCCCCC"/>
            <w:vAlign w:val="center"/>
          </w:tcPr>
          <w:p>
            <w:pPr>
              <w:pStyle w:val="4"/>
              <w:widowControl/>
              <w:jc w:val="center"/>
              <w:rPr>
                <w:rFonts w:ascii="宋体" w:hAnsi="宋体" w:cs="宋体"/>
                <w:b/>
                <w:bCs/>
                <w:color w:val="auto"/>
                <w:kern w:val="0"/>
                <w:sz w:val="24"/>
                <w:szCs w:val="21"/>
              </w:rPr>
            </w:pPr>
            <w:r>
              <w:rPr>
                <w:rFonts w:hint="eastAsia" w:ascii="’Times New Roman’" w:hAnsi="’Times New Roman’" w:cs="宋体"/>
                <w:b/>
                <w:bCs/>
                <w:color w:val="auto"/>
                <w:kern w:val="0"/>
                <w:sz w:val="24"/>
                <w:szCs w:val="21"/>
              </w:rPr>
              <w:t>编号</w:t>
            </w:r>
          </w:p>
        </w:tc>
        <w:tc>
          <w:tcPr>
            <w:tcW w:w="2342" w:type="dxa"/>
            <w:tcBorders>
              <w:top w:val="single" w:color="auto" w:sz="4" w:space="0"/>
              <w:left w:val="nil"/>
              <w:bottom w:val="single" w:color="auto" w:sz="4" w:space="0"/>
              <w:right w:val="single" w:color="auto" w:sz="4" w:space="0"/>
            </w:tcBorders>
            <w:shd w:val="clear" w:color="auto" w:fill="CCCCCC"/>
            <w:vAlign w:val="center"/>
          </w:tcPr>
          <w:p>
            <w:pPr>
              <w:pStyle w:val="4"/>
              <w:widowControl/>
              <w:jc w:val="center"/>
              <w:rPr>
                <w:rFonts w:ascii="宋体" w:hAnsi="宋体" w:cs="宋体"/>
                <w:b/>
                <w:bCs/>
                <w:color w:val="auto"/>
                <w:kern w:val="0"/>
                <w:sz w:val="24"/>
                <w:szCs w:val="21"/>
              </w:rPr>
            </w:pPr>
            <w:r>
              <w:rPr>
                <w:rFonts w:hint="eastAsia" w:ascii="’Times New Roman’" w:hAnsi="’Times New Roman’" w:cs="宋体"/>
                <w:b/>
                <w:bCs/>
                <w:color w:val="auto"/>
                <w:kern w:val="0"/>
                <w:sz w:val="24"/>
                <w:szCs w:val="21"/>
              </w:rPr>
              <w:t>名称</w:t>
            </w:r>
          </w:p>
        </w:tc>
        <w:tc>
          <w:tcPr>
            <w:tcW w:w="2116" w:type="dxa"/>
            <w:tcBorders>
              <w:top w:val="single" w:color="auto" w:sz="4" w:space="0"/>
              <w:left w:val="nil"/>
              <w:bottom w:val="single" w:color="auto" w:sz="4" w:space="0"/>
              <w:right w:val="single" w:color="auto" w:sz="4" w:space="0"/>
            </w:tcBorders>
            <w:shd w:val="clear" w:color="auto" w:fill="CCCCCC"/>
            <w:vAlign w:val="center"/>
          </w:tcPr>
          <w:p>
            <w:pPr>
              <w:pStyle w:val="4"/>
              <w:widowControl/>
              <w:jc w:val="center"/>
              <w:rPr>
                <w:rFonts w:hint="eastAsia" w:ascii="’Times New Roman’" w:hAnsi="’Times New Roman’" w:eastAsia="宋体" w:cs="宋体"/>
                <w:b/>
                <w:bCs/>
                <w:color w:val="auto"/>
                <w:kern w:val="0"/>
                <w:sz w:val="24"/>
                <w:szCs w:val="21"/>
                <w:lang w:eastAsia="zh-CN"/>
              </w:rPr>
            </w:pPr>
            <w:r>
              <w:rPr>
                <w:rFonts w:hint="eastAsia" w:ascii="’Times New Roman’" w:hAnsi="’Times New Roman’" w:cs="宋体"/>
                <w:b/>
                <w:bCs/>
                <w:color w:val="auto"/>
                <w:kern w:val="0"/>
                <w:sz w:val="24"/>
                <w:szCs w:val="21"/>
                <w:lang w:eastAsia="zh-CN"/>
              </w:rPr>
              <w:t>规格型号</w:t>
            </w:r>
          </w:p>
        </w:tc>
        <w:tc>
          <w:tcPr>
            <w:tcW w:w="822" w:type="dxa"/>
            <w:tcBorders>
              <w:top w:val="single" w:color="auto" w:sz="4" w:space="0"/>
              <w:left w:val="nil"/>
              <w:bottom w:val="single" w:color="auto" w:sz="4" w:space="0"/>
              <w:right w:val="single" w:color="auto" w:sz="4" w:space="0"/>
            </w:tcBorders>
            <w:shd w:val="clear" w:color="auto" w:fill="CCCCCC"/>
            <w:vAlign w:val="center"/>
          </w:tcPr>
          <w:p>
            <w:pPr>
              <w:pStyle w:val="4"/>
              <w:widowControl/>
              <w:jc w:val="center"/>
              <w:rPr>
                <w:rFonts w:hint="eastAsia" w:ascii="宋体" w:hAnsi="宋体" w:eastAsia="宋体" w:cs="宋体"/>
                <w:b/>
                <w:bCs/>
                <w:color w:val="auto"/>
                <w:kern w:val="0"/>
                <w:sz w:val="24"/>
                <w:szCs w:val="21"/>
                <w:lang w:eastAsia="zh-CN"/>
              </w:rPr>
            </w:pPr>
            <w:r>
              <w:rPr>
                <w:rFonts w:hint="eastAsia" w:ascii="’Times New Roman’" w:hAnsi="’Times New Roman’" w:cs="宋体"/>
                <w:b/>
                <w:bCs/>
                <w:color w:val="auto"/>
                <w:kern w:val="0"/>
                <w:sz w:val="24"/>
                <w:szCs w:val="21"/>
                <w:lang w:eastAsia="zh-CN"/>
              </w:rPr>
              <w:t>单位</w:t>
            </w:r>
          </w:p>
        </w:tc>
        <w:tc>
          <w:tcPr>
            <w:tcW w:w="900" w:type="dxa"/>
            <w:tcBorders>
              <w:top w:val="single" w:color="auto" w:sz="4" w:space="0"/>
              <w:left w:val="nil"/>
              <w:bottom w:val="single" w:color="auto" w:sz="4" w:space="0"/>
              <w:right w:val="single" w:color="auto" w:sz="4" w:space="0"/>
            </w:tcBorders>
            <w:shd w:val="clear" w:color="auto" w:fill="CCCCCC"/>
            <w:vAlign w:val="center"/>
          </w:tcPr>
          <w:p>
            <w:pPr>
              <w:pStyle w:val="4"/>
              <w:widowControl/>
              <w:jc w:val="center"/>
              <w:rPr>
                <w:rFonts w:hint="eastAsia" w:ascii="’Times New Roman’" w:hAnsi="’Times New Roman’" w:cs="宋体"/>
                <w:b/>
                <w:bCs/>
                <w:color w:val="auto"/>
                <w:kern w:val="0"/>
                <w:sz w:val="24"/>
                <w:szCs w:val="21"/>
              </w:rPr>
            </w:pPr>
            <w:r>
              <w:rPr>
                <w:rFonts w:hint="eastAsia" w:ascii="’Times New Roman’" w:hAnsi="’Times New Roman’" w:cs="宋体"/>
                <w:b/>
                <w:bCs/>
                <w:color w:val="auto"/>
                <w:kern w:val="0"/>
                <w:sz w:val="24"/>
                <w:szCs w:val="21"/>
                <w:lang w:eastAsia="zh-CN"/>
              </w:rPr>
              <w:t>数量</w:t>
            </w:r>
          </w:p>
        </w:tc>
        <w:tc>
          <w:tcPr>
            <w:tcW w:w="2286" w:type="dxa"/>
            <w:tcBorders>
              <w:top w:val="single" w:color="auto" w:sz="4" w:space="0"/>
              <w:left w:val="nil"/>
              <w:bottom w:val="single" w:color="auto" w:sz="4" w:space="0"/>
              <w:right w:val="single" w:color="auto" w:sz="4" w:space="0"/>
            </w:tcBorders>
            <w:shd w:val="clear" w:color="auto" w:fill="CCCCCC"/>
            <w:vAlign w:val="center"/>
          </w:tcPr>
          <w:p>
            <w:pPr>
              <w:pStyle w:val="4"/>
              <w:widowControl/>
              <w:jc w:val="center"/>
              <w:rPr>
                <w:rFonts w:ascii="宋体" w:hAnsi="宋体" w:cs="宋体"/>
                <w:b/>
                <w:bCs/>
                <w:color w:val="auto"/>
                <w:kern w:val="0"/>
                <w:sz w:val="24"/>
                <w:szCs w:val="21"/>
              </w:rPr>
            </w:pPr>
            <w:r>
              <w:rPr>
                <w:rFonts w:hint="eastAsia" w:ascii="’Times New Roman’" w:hAnsi="’Times New Roman’" w:cs="宋体"/>
                <w:b/>
                <w:bCs/>
                <w:color w:val="auto"/>
                <w:kern w:val="0"/>
                <w:sz w:val="24"/>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1</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val="en-US" w:eastAsia="zh-CN"/>
              </w:rPr>
            </w:pPr>
            <w:r>
              <w:rPr>
                <w:rFonts w:hint="eastAsia" w:asciiTheme="majorEastAsia" w:hAnsiTheme="majorEastAsia" w:eastAsiaTheme="majorEastAsia" w:cstheme="majorEastAsia"/>
                <w:b w:val="0"/>
                <w:i w:val="0"/>
                <w:snapToGrid/>
                <w:color w:val="000000"/>
                <w:sz w:val="21"/>
                <w:szCs w:val="21"/>
                <w:u w:val="none"/>
                <w:lang w:val="en-US" w:eastAsia="zh-CN"/>
              </w:rPr>
              <w:t>哈希/氮，氨水/水杨酸盐方法(0.01到0.50 mg/L 浓度的NH3-N)</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lang w:val="en-US" w:eastAsia="zh-CN"/>
              </w:rPr>
            </w:pPr>
            <w:r>
              <w:rPr>
                <w:rFonts w:hint="eastAsia" w:ascii="宋体" w:hAnsi="宋体" w:eastAsia="宋体" w:cs="宋体"/>
                <w:i w:val="0"/>
                <w:color w:val="000000"/>
                <w:kern w:val="0"/>
                <w:sz w:val="24"/>
                <w:szCs w:val="24"/>
                <w:u w:val="none"/>
                <w:lang w:val="en-US" w:eastAsia="zh-CN" w:bidi="ar"/>
              </w:rPr>
              <w:t xml:space="preserve">26531-99 氰尿酸氨试剂粉包 100/pkg </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4"/>
                <w:szCs w:val="24"/>
                <w:u w:val="none"/>
                <w:lang w:val="en-US" w:eastAsia="zh-CN" w:bidi="ar"/>
              </w:rPr>
              <w:t>包</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宋体" w:hAnsi="宋体" w:eastAsia="宋体" w:cs="宋体"/>
                <w:i w:val="0"/>
                <w:color w:val="000000"/>
                <w:kern w:val="0"/>
                <w:sz w:val="24"/>
                <w:szCs w:val="24"/>
                <w:u w:val="none"/>
                <w:lang w:val="en-US" w:eastAsia="zh-CN" w:bidi="ar"/>
              </w:rPr>
              <w:t>1</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宋体" w:hAnsi="宋体" w:eastAsia="宋体" w:cs="宋体"/>
                <w:i w:val="0"/>
                <w:color w:val="000000"/>
                <w:kern w:val="0"/>
                <w:sz w:val="24"/>
                <w:szCs w:val="24"/>
                <w:u w:val="none"/>
                <w:lang w:val="en-US" w:eastAsia="zh-CN" w:bidi="ar"/>
              </w:rPr>
              <w:t>哈希DR1900便携式可见分光光度计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2</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val="en-US" w:eastAsia="zh-CN"/>
              </w:rPr>
              <w:t>哈希/氮，氨水/水杨酸盐方法(0.01到0.50 mg/L 浓度的NH3-N)</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26532-99 水杨酸氨试剂粉包 100/pkg</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包</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宋体" w:hAnsi="宋体" w:eastAsia="宋体" w:cs="宋体"/>
                <w:i w:val="0"/>
                <w:color w:val="000000"/>
                <w:kern w:val="0"/>
                <w:sz w:val="24"/>
                <w:szCs w:val="24"/>
                <w:u w:val="none"/>
                <w:lang w:val="en-US" w:eastAsia="zh-CN" w:bidi="ar"/>
              </w:rPr>
              <w:t>1</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宋体" w:hAnsi="宋体" w:eastAsia="宋体" w:cs="宋体"/>
                <w:i w:val="0"/>
                <w:color w:val="000000"/>
                <w:kern w:val="0"/>
                <w:sz w:val="24"/>
                <w:szCs w:val="24"/>
                <w:u w:val="none"/>
                <w:lang w:val="en-US" w:eastAsia="zh-CN" w:bidi="ar"/>
              </w:rPr>
              <w:t>哈希DR1900便携式可见分光光度计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3</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val="en-US" w:eastAsia="zh-CN"/>
              </w:rPr>
              <w:t>哈希/氮，氨/水杨酸盐方法，高量程 (0.4到50.0 mg/L 浓度的NH3-N)</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26069-45 高量程Test ‘N Tube™ AmVer™ 氮氨试剂 50次测试</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包</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宋体" w:hAnsi="宋体" w:eastAsia="宋体" w:cs="宋体"/>
                <w:i w:val="0"/>
                <w:color w:val="000000"/>
                <w:kern w:val="0"/>
                <w:sz w:val="24"/>
                <w:szCs w:val="24"/>
                <w:u w:val="none"/>
                <w:lang w:val="en-US" w:eastAsia="zh-CN" w:bidi="ar"/>
              </w:rPr>
              <w:t>1</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宋体" w:hAnsi="宋体" w:eastAsia="宋体" w:cs="宋体"/>
                <w:i w:val="0"/>
                <w:color w:val="000000"/>
                <w:kern w:val="0"/>
                <w:sz w:val="24"/>
                <w:szCs w:val="24"/>
                <w:u w:val="none"/>
                <w:lang w:val="en-US" w:eastAsia="zh-CN" w:bidi="ar"/>
              </w:rPr>
              <w:t>哈希DR1900便携式可见分光光度计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4</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val="en-US" w:eastAsia="zh-CN"/>
              </w:rPr>
              <w:t>哈希/氟化物/SPADNS  方法(0.02到2.00 mg/L 的F- )</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 xml:space="preserve">25060-25 SPADNS氯化物试剂AccuVac® 安瓿瓶 25/pkg </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盒</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宋体" w:hAnsi="宋体" w:eastAsia="宋体" w:cs="宋体"/>
                <w:i w:val="0"/>
                <w:color w:val="000000"/>
                <w:kern w:val="0"/>
                <w:sz w:val="24"/>
                <w:szCs w:val="24"/>
                <w:u w:val="none"/>
                <w:lang w:val="en-US" w:eastAsia="zh-CN" w:bidi="ar"/>
              </w:rPr>
              <w:t>1</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宋体" w:hAnsi="宋体" w:eastAsia="宋体" w:cs="宋体"/>
                <w:i w:val="0"/>
                <w:color w:val="000000"/>
                <w:kern w:val="0"/>
                <w:sz w:val="24"/>
                <w:szCs w:val="24"/>
                <w:u w:val="none"/>
                <w:lang w:val="en-US" w:eastAsia="zh-CN" w:bidi="ar"/>
              </w:rPr>
              <w:t>哈希DR1900便携式可见分光光度计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5</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val="en-US" w:eastAsia="zh-CN"/>
              </w:rPr>
              <w:t>哈希/臭氧/(0-0.75 mg/L )</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 xml:space="preserve">25170-25 臭氧AccuVac ®  安瓿瓶 25/pkg </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盒</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1</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哈希DR1900便携式可见分光光度计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6</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val="en-US" w:eastAsia="zh-CN"/>
              </w:rPr>
              <w:t>美国3M Clean-Trace ATP荧光检测仪水样采样棒试剂</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3M</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包</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5</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333333"/>
                <w:kern w:val="0"/>
                <w:sz w:val="24"/>
                <w:szCs w:val="24"/>
                <w:u w:val="none"/>
                <w:lang w:val="en-US" w:eastAsia="zh-CN" w:bidi="ar"/>
              </w:rPr>
              <w:t xml:space="preserve"> ATP荧光检测仪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7</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val="en-US" w:eastAsia="zh-CN"/>
              </w:rPr>
              <w:t>陆恒生物DPD余氯测定试剂盒</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陆恒生物</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盒</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5</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快速检测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8</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val="en-US" w:eastAsia="zh-CN"/>
              </w:rPr>
              <w:t>陆恒生物尿素检测试剂盒</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陆恒生物</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val="en-US" w:eastAsia="zh-CN"/>
              </w:rPr>
            </w:pPr>
            <w:r>
              <w:rPr>
                <w:rFonts w:hint="eastAsia" w:ascii="宋体" w:hAnsi="宋体" w:eastAsia="宋体" w:cs="宋体"/>
                <w:i w:val="0"/>
                <w:color w:val="000000"/>
                <w:kern w:val="0"/>
                <w:sz w:val="24"/>
                <w:szCs w:val="24"/>
                <w:u w:val="none"/>
                <w:lang w:val="en-US" w:eastAsia="zh-CN" w:bidi="ar"/>
              </w:rPr>
              <w:t>盒</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5</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快速检测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9</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val="en-US" w:eastAsia="zh-CN"/>
              </w:rPr>
              <w:t>广东环凯微生物科技有限公司臭氧比色计配套试剂</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广东环凯微生物科技有限公司</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包</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3</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宋体" w:hAnsi="宋体" w:eastAsia="宋体" w:cs="宋体"/>
                <w:i w:val="0"/>
                <w:color w:val="000000"/>
                <w:kern w:val="0"/>
                <w:sz w:val="24"/>
                <w:szCs w:val="24"/>
                <w:u w:val="none"/>
                <w:lang w:val="en-US" w:eastAsia="zh-CN" w:bidi="ar"/>
              </w:rPr>
              <w:t>臭氧比色计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10</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eastAsia="zh-CN"/>
              </w:rPr>
              <w:t>稳健医用外科口罩</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eastAsia="zh-CN"/>
              </w:rPr>
              <w:t>50个/盒</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eastAsia="zh-CN"/>
              </w:rPr>
              <w:t>盒</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Theme="majorEastAsia" w:hAnsiTheme="majorEastAsia" w:eastAsiaTheme="majorEastAsia" w:cstheme="majorEastAsia"/>
                <w:b w:val="0"/>
                <w:bCs/>
                <w:i w:val="0"/>
                <w:snapToGrid/>
                <w:color w:val="000000"/>
                <w:sz w:val="21"/>
                <w:szCs w:val="21"/>
                <w:u w:val="none"/>
                <w:lang w:eastAsia="zh-CN"/>
              </w:rPr>
              <w:t>138</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应急防护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11</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eastAsia="zh-CN"/>
              </w:rPr>
              <w:t xml:space="preserve">南昌翔翊 </w:t>
            </w:r>
          </w:p>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eastAsia="zh-CN"/>
              </w:rPr>
              <w:t>一次性使用帽子</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eastAsia="zh-CN"/>
              </w:rPr>
              <w:t>南昌翔翊</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eastAsia="zh-CN"/>
              </w:rPr>
            </w:pPr>
            <w:r>
              <w:rPr>
                <w:rFonts w:hint="eastAsia" w:asciiTheme="majorEastAsia" w:hAnsiTheme="majorEastAsia" w:eastAsiaTheme="majorEastAsia" w:cstheme="majorEastAsia"/>
                <w:b w:val="0"/>
                <w:i w:val="0"/>
                <w:snapToGrid/>
                <w:color w:val="000000"/>
                <w:sz w:val="21"/>
                <w:szCs w:val="21"/>
                <w:u w:val="none"/>
                <w:lang w:eastAsia="zh-CN"/>
              </w:rPr>
              <w:t>包</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snapToGrid/>
                <w:color w:val="000000"/>
                <w:sz w:val="21"/>
                <w:szCs w:val="21"/>
                <w:u w:val="none"/>
                <w:lang w:eastAsia="zh-CN"/>
              </w:rPr>
            </w:pPr>
            <w:r>
              <w:rPr>
                <w:rFonts w:hint="eastAsia" w:asciiTheme="majorEastAsia" w:hAnsiTheme="majorEastAsia" w:eastAsiaTheme="majorEastAsia" w:cstheme="majorEastAsia"/>
                <w:b w:val="0"/>
                <w:bCs/>
                <w:i w:val="0"/>
                <w:snapToGrid/>
                <w:color w:val="000000"/>
                <w:sz w:val="21"/>
                <w:szCs w:val="21"/>
                <w:u w:val="none"/>
                <w:lang w:eastAsia="zh-CN"/>
              </w:rPr>
              <w:t>100</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一包10个，经环氧乙烷消毒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12</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 xml:space="preserve">高邦 一次性使用灭菌橡胶外科手套 </w:t>
            </w:r>
          </w:p>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无粉7号</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高邦</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i w:val="0"/>
                <w:snapToGrid/>
                <w:color w:val="000000"/>
                <w:sz w:val="21"/>
                <w:szCs w:val="21"/>
                <w:u w:val="none"/>
                <w:lang w:val="en-US" w:eastAsia="zh-CN"/>
              </w:rPr>
            </w:pPr>
            <w:r>
              <w:rPr>
                <w:rFonts w:hint="eastAsia" w:asciiTheme="majorEastAsia" w:hAnsiTheme="majorEastAsia" w:eastAsiaTheme="majorEastAsia" w:cstheme="majorEastAsia"/>
                <w:b w:val="0"/>
                <w:i w:val="0"/>
                <w:snapToGrid/>
                <w:color w:val="000000"/>
                <w:sz w:val="21"/>
                <w:szCs w:val="21"/>
                <w:u w:val="none"/>
                <w:lang w:val="en-US" w:eastAsia="zh-CN"/>
              </w:rPr>
              <w:t>盒</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Theme="majorEastAsia" w:hAnsiTheme="majorEastAsia" w:eastAsiaTheme="majorEastAsia" w:cstheme="majorEastAsia"/>
                <w:b w:val="0"/>
                <w:bCs/>
                <w:color w:val="auto"/>
                <w:kern w:val="0"/>
                <w:sz w:val="21"/>
                <w:szCs w:val="21"/>
              </w:rPr>
              <w:t>30</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一盒50双，灭菌外科手套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13</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高邦 一次性使用灭菌橡胶外科手套 </w:t>
            </w:r>
          </w:p>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无粉8号</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高邦</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盒</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color w:val="auto"/>
                <w:kern w:val="0"/>
                <w:sz w:val="21"/>
                <w:szCs w:val="21"/>
              </w:rPr>
            </w:pPr>
            <w:r>
              <w:rPr>
                <w:rFonts w:hint="eastAsia" w:asciiTheme="majorEastAsia" w:hAnsiTheme="majorEastAsia" w:eastAsiaTheme="majorEastAsia" w:cstheme="majorEastAsia"/>
                <w:b w:val="0"/>
                <w:bCs/>
                <w:color w:val="auto"/>
                <w:kern w:val="0"/>
                <w:sz w:val="21"/>
                <w:szCs w:val="21"/>
              </w:rPr>
              <w:t>30</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color w:val="auto"/>
                <w:kern w:val="0"/>
                <w:sz w:val="21"/>
                <w:szCs w:val="21"/>
                <w:lang w:eastAsia="zh-CN"/>
              </w:rPr>
            </w:pPr>
            <w:r>
              <w:rPr>
                <w:rFonts w:hint="eastAsia" w:ascii="宋体" w:hAnsi="宋体" w:eastAsia="宋体" w:cs="宋体"/>
                <w:i w:val="0"/>
                <w:color w:val="000000"/>
                <w:kern w:val="0"/>
                <w:sz w:val="24"/>
                <w:szCs w:val="24"/>
                <w:u w:val="none"/>
                <w:lang w:val="en-US" w:eastAsia="zh-CN" w:bidi="ar"/>
              </w:rPr>
              <w:t>一盒50双，灭菌外科手套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14</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洁芙柔</w:t>
            </w:r>
          </w:p>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 免洗手消毒凝胶 65ml</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洁芙柔</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箱</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10</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kern w:val="0"/>
                <w:sz w:val="21"/>
                <w:szCs w:val="21"/>
              </w:rPr>
            </w:pPr>
            <w:r>
              <w:rPr>
                <w:rFonts w:hint="eastAsia" w:ascii="宋体" w:hAnsi="宋体" w:eastAsia="宋体" w:cs="宋体"/>
                <w:i w:val="0"/>
                <w:color w:val="000000"/>
                <w:kern w:val="0"/>
                <w:sz w:val="24"/>
                <w:szCs w:val="24"/>
                <w:u w:val="none"/>
                <w:lang w:val="en-US" w:eastAsia="zh-CN" w:bidi="ar"/>
              </w:rPr>
              <w:t>一箱96瓶小瓶装手消毒剂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宋体" w:hAnsi="宋体" w:eastAsia="宋体" w:cs="宋体"/>
                <w:i w:val="0"/>
                <w:color w:val="000000"/>
                <w:kern w:val="0"/>
                <w:sz w:val="20"/>
                <w:szCs w:val="20"/>
                <w:u w:val="none"/>
                <w:lang w:val="en-US" w:eastAsia="zh-CN" w:bidi="ar"/>
              </w:rPr>
              <w:t>15</w:t>
            </w:r>
          </w:p>
        </w:tc>
        <w:tc>
          <w:tcPr>
            <w:tcW w:w="234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萱惟妮 </w:t>
            </w:r>
          </w:p>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75%酒精消毒液 550ml</w:t>
            </w:r>
          </w:p>
        </w:tc>
        <w:tc>
          <w:tcPr>
            <w:tcW w:w="21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萱惟妮</w:t>
            </w:r>
          </w:p>
        </w:tc>
        <w:tc>
          <w:tcPr>
            <w:tcW w:w="82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瓶</w:t>
            </w:r>
          </w:p>
        </w:tc>
        <w:tc>
          <w:tcPr>
            <w:tcW w:w="9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color w:val="auto"/>
                <w:kern w:val="0"/>
                <w:sz w:val="21"/>
                <w:szCs w:val="21"/>
              </w:rPr>
              <w:t>20</w:t>
            </w:r>
          </w:p>
        </w:tc>
        <w:tc>
          <w:tcPr>
            <w:tcW w:w="22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kern w:val="0"/>
                <w:sz w:val="21"/>
                <w:szCs w:val="21"/>
              </w:rPr>
            </w:pPr>
          </w:p>
        </w:tc>
      </w:tr>
    </w:tbl>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560" w:firstLineChars="200"/>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二、商务要求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90" w:firstLineChars="210"/>
        <w:textAlignment w:val="auto"/>
        <w:outlineLvl w:val="9"/>
        <w:rPr>
          <w:rFonts w:hint="eastAsia" w:ascii="仿宋" w:hAnsi="仿宋" w:eastAsia="仿宋"/>
          <w:b/>
          <w:sz w:val="28"/>
          <w:szCs w:val="28"/>
        </w:rPr>
      </w:pPr>
      <w:r>
        <w:rPr>
          <w:rFonts w:hint="eastAsia" w:ascii="仿宋" w:hAnsi="仿宋" w:eastAsia="仿宋"/>
          <w:b/>
          <w:sz w:val="28"/>
          <w:szCs w:val="28"/>
        </w:rPr>
        <w:t>1</w:t>
      </w:r>
      <w:r>
        <w:rPr>
          <w:rFonts w:hint="eastAsia" w:ascii="仿宋" w:hAnsi="仿宋" w:eastAsia="仿宋"/>
          <w:b/>
          <w:sz w:val="28"/>
          <w:szCs w:val="28"/>
          <w:lang w:val="en-US" w:eastAsia="zh-CN"/>
        </w:rPr>
        <w:t>.</w:t>
      </w:r>
      <w:r>
        <w:rPr>
          <w:rFonts w:ascii="仿宋" w:hAnsi="仿宋" w:eastAsia="仿宋"/>
          <w:b/>
          <w:sz w:val="28"/>
          <w:szCs w:val="28"/>
        </w:rPr>
        <w:t>工期要求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88" w:firstLineChars="210"/>
        <w:textAlignment w:val="auto"/>
        <w:outlineLvl w:val="9"/>
        <w:rPr>
          <w:rFonts w:hint="eastAsia" w:ascii="仿宋" w:hAnsi="仿宋" w:eastAsia="仿宋"/>
          <w:sz w:val="28"/>
          <w:szCs w:val="28"/>
        </w:rPr>
      </w:pPr>
      <w:r>
        <w:rPr>
          <w:rFonts w:hint="eastAsia" w:ascii="仿宋" w:hAnsi="仿宋" w:eastAsia="仿宋"/>
          <w:sz w:val="28"/>
          <w:szCs w:val="28"/>
        </w:rPr>
        <w:t xml:space="preserve">（1）供货要求：合同签订之日起 </w:t>
      </w:r>
      <w:r>
        <w:rPr>
          <w:rFonts w:hint="eastAsia" w:ascii="仿宋" w:hAnsi="仿宋" w:eastAsia="仿宋"/>
          <w:sz w:val="28"/>
          <w:szCs w:val="28"/>
          <w:u w:val="single"/>
          <w:lang w:val="en-US" w:eastAsia="zh-CN"/>
        </w:rPr>
        <w:t xml:space="preserve"> 45 </w:t>
      </w:r>
      <w:r>
        <w:rPr>
          <w:rFonts w:hint="eastAsia" w:ascii="仿宋" w:hAnsi="仿宋" w:eastAsia="仿宋"/>
          <w:sz w:val="28"/>
          <w:szCs w:val="28"/>
          <w:lang w:val="en-US" w:eastAsia="zh-CN"/>
        </w:rPr>
        <w:t>个工作日</w:t>
      </w:r>
      <w:r>
        <w:rPr>
          <w:rFonts w:hint="eastAsia" w:ascii="仿宋" w:hAnsi="仿宋" w:eastAsia="仿宋"/>
          <w:sz w:val="28"/>
          <w:szCs w:val="28"/>
        </w:rPr>
        <w:t>内完成供货。</w:t>
      </w:r>
      <w:r>
        <w:rPr>
          <w:rFonts w:hint="eastAsia" w:ascii="仿宋" w:hAnsi="仿宋" w:eastAsia="仿宋"/>
          <w:sz w:val="28"/>
          <w:szCs w:val="28"/>
        </w:rPr>
        <w:br w:type="textWrapping"/>
      </w:r>
      <w:r>
        <w:rPr>
          <w:rFonts w:hint="eastAsia" w:ascii="仿宋" w:hAnsi="仿宋" w:eastAsia="仿宋"/>
          <w:sz w:val="28"/>
          <w:szCs w:val="28"/>
        </w:rPr>
        <w:t xml:space="preserve">     （2）交货地点：采购单位指定地点。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90" w:firstLineChars="210"/>
        <w:textAlignment w:val="auto"/>
        <w:outlineLvl w:val="9"/>
        <w:rPr>
          <w:rFonts w:hint="eastAsia" w:ascii="仿宋" w:hAnsi="仿宋" w:eastAsia="仿宋"/>
          <w:b/>
          <w:sz w:val="28"/>
          <w:szCs w:val="28"/>
        </w:rPr>
      </w:pPr>
      <w:r>
        <w:rPr>
          <w:rFonts w:hint="eastAsia" w:ascii="仿宋" w:hAnsi="仿宋" w:eastAsia="仿宋"/>
          <w:b/>
          <w:sz w:val="28"/>
          <w:szCs w:val="28"/>
        </w:rPr>
        <w:t>2</w:t>
      </w:r>
      <w:r>
        <w:rPr>
          <w:rFonts w:hint="eastAsia" w:ascii="仿宋" w:hAnsi="仿宋" w:eastAsia="仿宋"/>
          <w:b/>
          <w:sz w:val="28"/>
          <w:szCs w:val="28"/>
          <w:lang w:val="en-US" w:eastAsia="zh-CN"/>
        </w:rPr>
        <w:t>.</w:t>
      </w:r>
      <w:r>
        <w:rPr>
          <w:rFonts w:ascii="仿宋" w:hAnsi="仿宋" w:eastAsia="仿宋"/>
          <w:b/>
          <w:sz w:val="28"/>
          <w:szCs w:val="28"/>
        </w:rPr>
        <w:t>付款条件</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 w:hAnsi="仿宋" w:eastAsia="仿宋"/>
          <w:sz w:val="28"/>
          <w:szCs w:val="28"/>
        </w:rPr>
      </w:pPr>
      <w:r>
        <w:rPr>
          <w:rFonts w:hint="eastAsia" w:ascii="仿宋" w:hAnsi="仿宋" w:eastAsia="仿宋"/>
          <w:sz w:val="28"/>
          <w:szCs w:val="28"/>
        </w:rPr>
        <w:t xml:space="preserve">   （1）合同签订后</w:t>
      </w:r>
      <w:r>
        <w:rPr>
          <w:rFonts w:hint="eastAsia" w:ascii="仿宋" w:hAnsi="仿宋" w:eastAsia="仿宋"/>
          <w:sz w:val="28"/>
          <w:szCs w:val="28"/>
          <w:u w:val="single"/>
          <w:lang w:val="en-US" w:eastAsia="zh-CN"/>
        </w:rPr>
        <w:t xml:space="preserve"> 45 </w:t>
      </w:r>
      <w:r>
        <w:rPr>
          <w:rFonts w:hint="eastAsia" w:ascii="仿宋" w:hAnsi="仿宋" w:eastAsia="仿宋"/>
          <w:sz w:val="28"/>
          <w:szCs w:val="28"/>
        </w:rPr>
        <w:t>个工作日内货物应及时到位；</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（2）合同签订后15个工作日内支付合同金额50%；</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 w:hAnsi="仿宋" w:eastAsia="仿宋"/>
          <w:sz w:val="28"/>
          <w:szCs w:val="28"/>
        </w:rPr>
      </w:pPr>
      <w:r>
        <w:rPr>
          <w:rFonts w:hint="eastAsia" w:ascii="仿宋" w:hAnsi="仿宋" w:eastAsia="仿宋"/>
          <w:sz w:val="28"/>
          <w:szCs w:val="28"/>
        </w:rPr>
        <w:t xml:space="preserve">   （2）项目验收合格之后</w:t>
      </w:r>
      <w:r>
        <w:rPr>
          <w:rFonts w:hint="eastAsia" w:ascii="仿宋" w:hAnsi="仿宋" w:eastAsia="仿宋"/>
          <w:sz w:val="28"/>
          <w:szCs w:val="28"/>
          <w:lang w:val="en-US" w:eastAsia="zh-CN"/>
        </w:rPr>
        <w:t>15</w:t>
      </w:r>
      <w:bookmarkStart w:id="0" w:name="_GoBack"/>
      <w:bookmarkEnd w:id="0"/>
      <w:r>
        <w:rPr>
          <w:rFonts w:hint="eastAsia" w:ascii="仿宋" w:hAnsi="仿宋" w:eastAsia="仿宋"/>
          <w:sz w:val="28"/>
          <w:szCs w:val="28"/>
        </w:rPr>
        <w:t>个工作日内支付合同金额</w:t>
      </w:r>
      <w:r>
        <w:rPr>
          <w:rFonts w:hint="eastAsia" w:ascii="仿宋" w:hAnsi="仿宋" w:eastAsia="仿宋"/>
          <w:sz w:val="28"/>
          <w:szCs w:val="28"/>
          <w:u w:val="single"/>
          <w:lang w:val="en-US" w:eastAsia="zh-CN"/>
        </w:rPr>
        <w:t xml:space="preserve"> 50</w:t>
      </w:r>
      <w:r>
        <w:rPr>
          <w:rFonts w:hint="eastAsia" w:ascii="仿宋" w:hAnsi="仿宋" w:eastAsia="仿宋"/>
          <w:sz w:val="28"/>
          <w:szCs w:val="28"/>
          <w:u w:val="single"/>
        </w:rPr>
        <w:t>％</w:t>
      </w:r>
      <w:r>
        <w:rPr>
          <w:rFonts w:hint="eastAsia" w:ascii="仿宋" w:hAnsi="仿宋" w:eastAsia="仿宋"/>
          <w:sz w:val="28"/>
          <w:szCs w:val="28"/>
        </w:rPr>
        <w:t>；</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3</w:t>
      </w:r>
      <w:r>
        <w:rPr>
          <w:rFonts w:hint="eastAsia" w:ascii="仿宋" w:hAnsi="仿宋" w:eastAsia="仿宋"/>
          <w:sz w:val="28"/>
          <w:szCs w:val="28"/>
        </w:rPr>
        <w:t>）采购人不承担因财政资金不能及时到位给成交人造成的任何损失。</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90" w:firstLineChars="210"/>
        <w:textAlignment w:val="auto"/>
        <w:outlineLvl w:val="9"/>
        <w:rPr>
          <w:rFonts w:hint="eastAsia" w:ascii="仿宋" w:hAnsi="仿宋" w:eastAsia="仿宋"/>
          <w:b/>
          <w:sz w:val="28"/>
          <w:szCs w:val="28"/>
        </w:rPr>
      </w:pPr>
      <w:r>
        <w:rPr>
          <w:rFonts w:hint="eastAsia" w:ascii="仿宋" w:hAnsi="仿宋" w:eastAsia="仿宋"/>
          <w:b/>
          <w:sz w:val="28"/>
          <w:szCs w:val="28"/>
        </w:rPr>
        <w:t>3</w:t>
      </w:r>
      <w:r>
        <w:rPr>
          <w:rFonts w:hint="eastAsia" w:ascii="仿宋" w:hAnsi="仿宋" w:eastAsia="仿宋"/>
          <w:b/>
          <w:sz w:val="28"/>
          <w:szCs w:val="28"/>
          <w:lang w:val="en-US" w:eastAsia="zh-CN"/>
        </w:rPr>
        <w:t>.</w:t>
      </w:r>
      <w:r>
        <w:rPr>
          <w:rFonts w:hint="eastAsia" w:ascii="仿宋" w:hAnsi="仿宋" w:eastAsia="仿宋"/>
          <w:b/>
          <w:sz w:val="28"/>
          <w:szCs w:val="28"/>
        </w:rPr>
        <w:t>售后服务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314"/>
        <w:jc w:val="left"/>
        <w:textAlignment w:val="auto"/>
        <w:outlineLvl w:val="9"/>
        <w:rPr>
          <w:rFonts w:hint="eastAsia" w:ascii="仿宋" w:hAnsi="仿宋" w:eastAsia="仿宋"/>
          <w:sz w:val="28"/>
          <w:szCs w:val="28"/>
        </w:rPr>
      </w:pPr>
      <w:r>
        <w:rPr>
          <w:rFonts w:hint="eastAsia" w:ascii="仿宋" w:hAnsi="仿宋" w:eastAsia="仿宋"/>
          <w:sz w:val="28"/>
          <w:szCs w:val="28"/>
        </w:rPr>
        <w:t xml:space="preserve"> </w:t>
      </w:r>
      <w:r>
        <w:rPr>
          <w:rFonts w:hint="eastAsia" w:ascii="仿宋_GB2312" w:hAnsi="sans serif" w:eastAsia="仿宋_GB2312"/>
          <w:sz w:val="28"/>
          <w:szCs w:val="28"/>
        </w:rPr>
        <w:t>（</w:t>
      </w:r>
      <w:r>
        <w:rPr>
          <w:rFonts w:hint="eastAsia" w:ascii="仿宋" w:hAnsi="仿宋" w:eastAsia="仿宋"/>
          <w:sz w:val="28"/>
          <w:szCs w:val="28"/>
        </w:rPr>
        <w:t>1）</w:t>
      </w:r>
      <w:r>
        <w:rPr>
          <w:rFonts w:hint="eastAsia" w:ascii="仿宋" w:hAnsi="仿宋" w:eastAsia="仿宋"/>
          <w:sz w:val="28"/>
          <w:szCs w:val="28"/>
          <w:lang w:eastAsia="zh-CN"/>
        </w:rPr>
        <w:t>所供货物</w:t>
      </w:r>
      <w:r>
        <w:rPr>
          <w:rFonts w:hint="eastAsia" w:ascii="仿宋" w:hAnsi="仿宋" w:eastAsia="仿宋"/>
          <w:sz w:val="28"/>
          <w:szCs w:val="28"/>
        </w:rPr>
        <w:t>验收合格后，</w:t>
      </w:r>
      <w:r>
        <w:rPr>
          <w:rFonts w:hint="eastAsia" w:ascii="仿宋" w:hAnsi="仿宋" w:eastAsia="仿宋"/>
          <w:sz w:val="28"/>
          <w:szCs w:val="28"/>
          <w:lang w:eastAsia="zh-CN"/>
        </w:rPr>
        <w:t>货物的</w:t>
      </w:r>
      <w:r>
        <w:rPr>
          <w:rFonts w:hint="eastAsia" w:ascii="仿宋" w:hAnsi="仿宋" w:eastAsia="仿宋"/>
          <w:sz w:val="28"/>
          <w:szCs w:val="28"/>
        </w:rPr>
        <w:t>质保期</w:t>
      </w:r>
      <w:r>
        <w:rPr>
          <w:rFonts w:hint="eastAsia" w:ascii="仿宋" w:hAnsi="仿宋" w:eastAsia="仿宋"/>
          <w:sz w:val="28"/>
          <w:szCs w:val="28"/>
          <w:lang w:eastAsia="zh-CN"/>
        </w:rPr>
        <w:t>限应大于在该货物规定的质保期三</w:t>
      </w:r>
      <w:r>
        <w:rPr>
          <w:rFonts w:hint="eastAsia" w:ascii="仿宋" w:hAnsi="仿宋" w:eastAsia="仿宋"/>
          <w:sz w:val="28"/>
          <w:szCs w:val="28"/>
          <w:lang w:val="en-US" w:eastAsia="zh-CN"/>
        </w:rPr>
        <w:t>分之二以上的时间</w:t>
      </w:r>
      <w:r>
        <w:rPr>
          <w:rFonts w:hint="eastAsia" w:ascii="仿宋" w:hAnsi="仿宋" w:eastAsia="仿宋"/>
          <w:sz w:val="28"/>
          <w:szCs w:val="28"/>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设有稳定可靠的售后服务机构，须提供常设每周5天×8小时服务专线和长期的免费技术支持。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90" w:firstLineChars="210"/>
        <w:textAlignment w:val="auto"/>
        <w:outlineLvl w:val="9"/>
        <w:rPr>
          <w:rFonts w:hint="eastAsia" w:ascii="仿宋" w:hAnsi="仿宋" w:eastAsia="仿宋"/>
          <w:b/>
          <w:sz w:val="28"/>
          <w:szCs w:val="28"/>
        </w:rPr>
      </w:pPr>
      <w:r>
        <w:rPr>
          <w:rFonts w:hint="eastAsia" w:ascii="仿宋" w:hAnsi="仿宋" w:eastAsia="仿宋"/>
          <w:b/>
          <w:sz w:val="28"/>
          <w:szCs w:val="28"/>
        </w:rPr>
        <w:t>4</w:t>
      </w:r>
      <w:r>
        <w:rPr>
          <w:rFonts w:hint="eastAsia" w:ascii="仿宋" w:hAnsi="仿宋" w:eastAsia="仿宋"/>
          <w:b/>
          <w:sz w:val="28"/>
          <w:szCs w:val="28"/>
          <w:lang w:val="en-US" w:eastAsia="zh-CN"/>
        </w:rPr>
        <w:t>.</w:t>
      </w:r>
      <w:r>
        <w:rPr>
          <w:rFonts w:hint="eastAsia" w:ascii="仿宋" w:hAnsi="仿宋" w:eastAsia="仿宋"/>
          <w:b/>
          <w:sz w:val="28"/>
          <w:szCs w:val="28"/>
        </w:rPr>
        <w:t>项目</w:t>
      </w:r>
      <w:r>
        <w:rPr>
          <w:rFonts w:ascii="仿宋" w:hAnsi="仿宋" w:eastAsia="仿宋"/>
          <w:b/>
          <w:sz w:val="28"/>
          <w:szCs w:val="28"/>
        </w:rPr>
        <w:t>实施</w:t>
      </w:r>
      <w:r>
        <w:rPr>
          <w:rFonts w:hint="eastAsia" w:ascii="仿宋" w:hAnsi="仿宋" w:eastAsia="仿宋"/>
          <w:b/>
          <w:sz w:val="28"/>
          <w:szCs w:val="28"/>
        </w:rPr>
        <w:t>要求</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88" w:firstLineChars="210"/>
        <w:jc w:val="left"/>
        <w:textAlignment w:val="auto"/>
        <w:outlineLvl w:val="9"/>
        <w:rPr>
          <w:rFonts w:hint="eastAsia" w:ascii="仿宋" w:hAnsi="仿宋" w:eastAsia="仿宋"/>
          <w:sz w:val="28"/>
          <w:szCs w:val="28"/>
        </w:rPr>
      </w:pPr>
      <w:r>
        <w:rPr>
          <w:rFonts w:hint="eastAsia" w:ascii="仿宋" w:hAnsi="仿宋" w:eastAsia="仿宋"/>
          <w:sz w:val="28"/>
          <w:szCs w:val="28"/>
        </w:rPr>
        <w:t>项目实施工作必须由中标人负责，不准分包</w:t>
      </w:r>
      <w:r>
        <w:rPr>
          <w:rFonts w:hint="eastAsia" w:ascii="仿宋" w:hAnsi="仿宋" w:eastAsia="仿宋"/>
          <w:sz w:val="28"/>
          <w:szCs w:val="28"/>
          <w:lang w:val="en-US" w:eastAsia="zh-CN"/>
        </w:rPr>
        <w:t>和转包</w:t>
      </w:r>
      <w:r>
        <w:rPr>
          <w:rFonts w:hint="eastAsia" w:ascii="仿宋" w:hAnsi="仿宋" w:eastAsia="仿宋"/>
          <w:sz w:val="28"/>
          <w:szCs w:val="28"/>
        </w:rPr>
        <w:t>，并实行“三包”：包质量、包工期、包安全。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88" w:firstLineChars="210"/>
        <w:jc w:val="left"/>
        <w:textAlignment w:val="auto"/>
        <w:outlineLvl w:val="9"/>
        <w:rPr>
          <w:rFonts w:hint="eastAsia" w:ascii="仿宋" w:hAnsi="仿宋" w:eastAsia="仿宋"/>
          <w:b/>
          <w:sz w:val="28"/>
          <w:szCs w:val="28"/>
        </w:rPr>
      </w:pPr>
      <w:r>
        <w:rPr>
          <w:rFonts w:ascii="仿宋" w:hAnsi="仿宋" w:eastAsia="仿宋"/>
          <w:sz w:val="28"/>
          <w:szCs w:val="28"/>
        </w:rPr>
        <w:t xml:space="preserve"> </w:t>
      </w:r>
      <w:r>
        <w:rPr>
          <w:rFonts w:ascii="仿宋" w:hAnsi="仿宋" w:eastAsia="仿宋"/>
          <w:b/>
          <w:sz w:val="28"/>
          <w:szCs w:val="28"/>
        </w:rPr>
        <w:t xml:space="preserve"> </w:t>
      </w:r>
      <w:r>
        <w:rPr>
          <w:rFonts w:hint="eastAsia" w:ascii="仿宋" w:hAnsi="仿宋" w:eastAsia="仿宋"/>
          <w:b/>
          <w:sz w:val="28"/>
          <w:szCs w:val="28"/>
        </w:rPr>
        <w:t>5</w:t>
      </w:r>
      <w:r>
        <w:rPr>
          <w:rFonts w:hint="eastAsia" w:ascii="仿宋" w:hAnsi="仿宋" w:eastAsia="仿宋"/>
          <w:b/>
          <w:sz w:val="28"/>
          <w:szCs w:val="28"/>
          <w:lang w:val="en-US" w:eastAsia="zh-CN"/>
        </w:rPr>
        <w:t>.</w:t>
      </w:r>
      <w:r>
        <w:rPr>
          <w:rFonts w:ascii="仿宋" w:hAnsi="仿宋" w:eastAsia="仿宋"/>
          <w:b/>
          <w:sz w:val="28"/>
          <w:szCs w:val="28"/>
        </w:rPr>
        <w:t>验收要求</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 w:hAnsi="仿宋" w:eastAsia="仿宋"/>
          <w:sz w:val="28"/>
          <w:szCs w:val="28"/>
        </w:rPr>
      </w:pPr>
      <w:r>
        <w:rPr>
          <w:rFonts w:hint="eastAsia" w:ascii="仿宋" w:hAnsi="仿宋" w:eastAsia="仿宋"/>
          <w:sz w:val="28"/>
          <w:szCs w:val="28"/>
        </w:rPr>
        <w:t xml:space="preserve">   （1）</w:t>
      </w:r>
      <w:r>
        <w:rPr>
          <w:rFonts w:hint="eastAsia" w:ascii="仿宋" w:hAnsi="仿宋" w:eastAsia="仿宋"/>
          <w:sz w:val="28"/>
          <w:szCs w:val="28"/>
          <w:lang w:eastAsia="zh-CN"/>
        </w:rPr>
        <w:t>货物送达</w:t>
      </w:r>
      <w:r>
        <w:rPr>
          <w:rFonts w:hint="eastAsia" w:ascii="仿宋" w:hAnsi="仿宋" w:eastAsia="仿宋"/>
          <w:sz w:val="28"/>
          <w:szCs w:val="28"/>
        </w:rPr>
        <w:t>后，采购人应组织验收工作。</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 w:hAnsi="仿宋" w:eastAsia="仿宋"/>
          <w:sz w:val="28"/>
          <w:szCs w:val="28"/>
        </w:rPr>
      </w:pPr>
      <w:r>
        <w:rPr>
          <w:rFonts w:hint="eastAsia" w:ascii="仿宋" w:hAnsi="仿宋" w:eastAsia="仿宋"/>
          <w:sz w:val="28"/>
          <w:szCs w:val="28"/>
        </w:rPr>
        <w:t xml:space="preserve">   （2）所有</w:t>
      </w:r>
      <w:r>
        <w:rPr>
          <w:rFonts w:hint="eastAsia" w:ascii="仿宋" w:hAnsi="仿宋" w:eastAsia="仿宋"/>
          <w:sz w:val="28"/>
          <w:szCs w:val="28"/>
          <w:lang w:eastAsia="zh-CN"/>
        </w:rPr>
        <w:t>物品</w:t>
      </w:r>
      <w:r>
        <w:rPr>
          <w:rFonts w:hint="eastAsia" w:ascii="仿宋" w:hAnsi="仿宋" w:eastAsia="仿宋"/>
          <w:sz w:val="28"/>
          <w:szCs w:val="28"/>
        </w:rPr>
        <w:t>在开箱时必须完好，无破损，配置与装箱单相符，数量、质量及性能不低于招标要求。</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黑体" w:hAnsi="黑体" w:eastAsia="黑体" w:cs="黑体"/>
          <w:sz w:val="28"/>
          <w:szCs w:val="28"/>
          <w:lang w:val="en-US" w:eastAsia="zh-CN"/>
        </w:rPr>
      </w:pPr>
      <w:r>
        <w:rPr>
          <w:rFonts w:hint="eastAsia" w:ascii="仿宋" w:hAnsi="仿宋" w:eastAsia="仿宋"/>
          <w:sz w:val="28"/>
          <w:szCs w:val="28"/>
        </w:rPr>
        <w:t xml:space="preserve">  </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三、供应商的资格条件</w:t>
      </w:r>
    </w:p>
    <w:p>
      <w:pPr>
        <w:pStyle w:val="4"/>
        <w:widowControl/>
        <w:spacing w:line="360" w:lineRule="auto"/>
        <w:ind w:firstLine="560" w:firstLineChars="200"/>
        <w:jc w:val="left"/>
        <w:outlineLvl w:val="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（一）报价人必须在中华人民共和国境内（不包括港澳台）</w:t>
      </w:r>
      <w:r>
        <w:rPr>
          <w:rFonts w:hint="eastAsia" w:ascii="仿宋" w:hAnsi="仿宋" w:eastAsia="仿宋" w:cs="仿宋"/>
          <w:color w:val="000000"/>
          <w:kern w:val="0"/>
          <w:sz w:val="28"/>
          <w:szCs w:val="28"/>
          <w:lang w:eastAsia="zh-CN"/>
        </w:rPr>
        <w:t>合法</w:t>
      </w:r>
      <w:r>
        <w:rPr>
          <w:rFonts w:hint="eastAsia" w:ascii="仿宋" w:hAnsi="仿宋" w:eastAsia="仿宋" w:cs="仿宋"/>
          <w:color w:val="000000"/>
          <w:kern w:val="0"/>
          <w:sz w:val="28"/>
          <w:szCs w:val="28"/>
        </w:rPr>
        <w:t>注册,具有独立承担民事责任能力，并符合政府采购法第二十二条规定。</w:t>
      </w:r>
    </w:p>
    <w:p>
      <w:pPr>
        <w:pStyle w:val="4"/>
        <w:widowControl/>
        <w:spacing w:line="360" w:lineRule="auto"/>
        <w:ind w:firstLine="560" w:firstLineChars="200"/>
        <w:jc w:val="left"/>
        <w:outlineLvl w:val="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供应商未被列入“信用中国”网站(www.creditchina.gov.cn)的“失信被执行人或重大税收违法案件当事人名单或政府采购严重违法失信行为”记录名单；未处于中国政府采购网(www.ccgp.gov.cn)“政府采购严重违法失信行为信息记录”中的禁止参加政府采购活动期间。（以采购代理机构于采购公告后在“信用中国”网站（www.creditchina.gov.cn）及中国政府采购网(www.ccgp.gov.cn)查询结果为准，如相关失信记录已失效，供应商需在投标文件中提供相关证明资料）；</w:t>
      </w:r>
    </w:p>
    <w:p>
      <w:pPr>
        <w:pStyle w:val="4"/>
        <w:widowControl/>
        <w:spacing w:line="360" w:lineRule="auto"/>
        <w:ind w:firstLine="560" w:firstLineChars="200"/>
        <w:jc w:val="left"/>
        <w:outlineLvl w:val="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（三）</w:t>
      </w:r>
      <w:r>
        <w:rPr>
          <w:rFonts w:hint="eastAsia" w:ascii="仿宋" w:hAnsi="仿宋" w:eastAsia="仿宋" w:cs="仿宋"/>
          <w:color w:val="000000"/>
          <w:kern w:val="0"/>
          <w:sz w:val="28"/>
          <w:szCs w:val="28"/>
        </w:rPr>
        <w:t>本项目不接受联合体参加投标。</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sans serif">
    <w:altName w:val="宋体"/>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557F5"/>
    <w:rsid w:val="07CA6017"/>
    <w:rsid w:val="086F177C"/>
    <w:rsid w:val="09500B68"/>
    <w:rsid w:val="0A1E2936"/>
    <w:rsid w:val="0A953E64"/>
    <w:rsid w:val="0DF12232"/>
    <w:rsid w:val="16F75911"/>
    <w:rsid w:val="1AC024E5"/>
    <w:rsid w:val="1B1557F5"/>
    <w:rsid w:val="1DE819A5"/>
    <w:rsid w:val="2A0434D9"/>
    <w:rsid w:val="31C25D0F"/>
    <w:rsid w:val="333705FC"/>
    <w:rsid w:val="388D1ABB"/>
    <w:rsid w:val="3AC450C2"/>
    <w:rsid w:val="43E774F3"/>
    <w:rsid w:val="47081A43"/>
    <w:rsid w:val="485A25CE"/>
    <w:rsid w:val="51D550AF"/>
    <w:rsid w:val="51E8417E"/>
    <w:rsid w:val="55B45CDD"/>
    <w:rsid w:val="56884DCD"/>
    <w:rsid w:val="57FF5615"/>
    <w:rsid w:val="5BCA7206"/>
    <w:rsid w:val="5BEF2106"/>
    <w:rsid w:val="6FE5543D"/>
    <w:rsid w:val="700A4026"/>
    <w:rsid w:val="7297450C"/>
    <w:rsid w:val="74FD193F"/>
    <w:rsid w:val="7EE10E4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
    <w:name w:val="font11"/>
    <w:basedOn w:val="2"/>
    <w:qFormat/>
    <w:uiPriority w:val="0"/>
    <w:rPr>
      <w:rFonts w:hint="eastAsia" w:ascii="宋体" w:hAnsi="宋体" w:eastAsia="宋体" w:cs="宋体"/>
      <w:color w:val="000000"/>
      <w:sz w:val="22"/>
      <w:szCs w:val="22"/>
      <w:u w:val="none"/>
    </w:rPr>
  </w:style>
  <w:style w:type="character" w:customStyle="1" w:styleId="6">
    <w:name w:val="font01"/>
    <w:basedOn w:val="2"/>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市卫生监督所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2017-08-30T08:15:00Z</dcterms:created>
  <dc:creator>谢嘉菲</dc:creator>
  <cp:lastModifiedBy>谢嘉菲</cp:lastModifiedBy>
  <cp:lastPrinted>2019-08-12T06:38:00Z</cp:lastPrinted>
  <dcterms:modified xsi:type="dcterms:W3CDTF">2020-08-31T10:09:18Z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