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987"/>
        </w:tabs>
        <w:ind w:left="0" w:leftChars="0" w:firstLine="0" w:firstLineChars="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</w:t>
      </w:r>
    </w:p>
    <w:p>
      <w:pPr>
        <w:tabs>
          <w:tab w:val="left" w:pos="360"/>
          <w:tab w:val="left" w:pos="987"/>
        </w:tabs>
        <w:ind w:left="42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竞价</w:t>
      </w:r>
      <w:r>
        <w:rPr>
          <w:rFonts w:hint="eastAsia"/>
          <w:b/>
          <w:sz w:val="32"/>
          <w:szCs w:val="32"/>
        </w:rPr>
        <w:t>报价一览表</w:t>
      </w:r>
    </w:p>
    <w:tbl>
      <w:tblPr>
        <w:tblStyle w:val="3"/>
        <w:tblW w:w="0" w:type="auto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01"/>
        <w:gridCol w:w="1623"/>
        <w:gridCol w:w="921"/>
        <w:gridCol w:w="1081"/>
        <w:gridCol w:w="1197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序号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zh-CN"/>
              </w:rPr>
              <w:t>采购内容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  <w:t>目标重点人群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autoSpaceDE/>
              <w:autoSpaceDN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单位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utoSpaceDE/>
              <w:autoSpaceDN/>
              <w:ind w:left="0" w:leftChars="0" w:firstLine="1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zh-CN"/>
              </w:rPr>
              <w:t>数量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报价（单价）元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报价（总价）元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2024年艾滋病性病猴痘医防结合服务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男男同性性行为人群（MSM）、性病就诊者人群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1800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MSM、性病就诊者人群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MSM艾滋病患者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MSM、性病就诊者人群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MSM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105" w:rightChars="5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23" w:type="dxa"/>
            <w:gridSpan w:val="5"/>
            <w:noWrap w:val="0"/>
            <w:vAlign w:val="center"/>
          </w:tcPr>
          <w:p>
            <w:pPr>
              <w:tabs>
                <w:tab w:val="left" w:pos="2557"/>
              </w:tabs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</w:rPr>
            </w:pPr>
          </w:p>
        </w:tc>
      </w:tr>
    </w:tbl>
    <w:p>
      <w:pPr>
        <w:ind w:firstLine="0"/>
        <w:rPr>
          <w:rFonts w:hint="eastAsia" w:ascii="宋体" w:hAnsi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投标报价控制金额：￥</w:t>
      </w:r>
      <w:r>
        <w:rPr>
          <w:rFonts w:hint="eastAsia"/>
          <w:b/>
          <w:bCs/>
          <w:sz w:val="24"/>
          <w:szCs w:val="24"/>
          <w:lang w:val="en-US" w:eastAsia="zh-CN"/>
        </w:rPr>
        <w:t>129500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元，本次项目只接受低于或等于控制金额的报价，如投标人投标报价高于控制金额的，</w:t>
      </w:r>
      <w:r>
        <w:rPr>
          <w:rFonts w:hint="eastAsia"/>
          <w:b/>
          <w:sz w:val="24"/>
          <w:szCs w:val="24"/>
        </w:rPr>
        <w:t>视为无效投标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在报价表内未有明确列述的项目费用应视为包括在报价之内。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报价表述限于中文大写或阿拉伯数字小写，均已核定准确无误。</w:t>
      </w:r>
    </w:p>
    <w:p>
      <w:pPr>
        <w:pStyle w:val="5"/>
        <w:numPr>
          <w:ilvl w:val="0"/>
          <w:numId w:val="1"/>
        </w:numPr>
        <w:spacing w:before="0" w:after="0" w:line="276" w:lineRule="auto"/>
        <w:rPr>
          <w:spacing w:val="0"/>
        </w:rPr>
      </w:pPr>
      <w:r>
        <w:rPr>
          <w:rFonts w:hint="eastAsia"/>
          <w:spacing w:val="0"/>
          <w:szCs w:val="24"/>
        </w:rPr>
        <w:t>本表内容不得擅自修改。</w:t>
      </w: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（或授权代理人）签字（或签章）：</w:t>
      </w:r>
    </w:p>
    <w:p>
      <w:pPr>
        <w:adjustRightInd w:val="0"/>
        <w:snapToGrid w:val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投标人名称（签章）：</w:t>
      </w:r>
    </w:p>
    <w:p>
      <w:pPr>
        <w:pStyle w:val="5"/>
        <w:spacing w:before="0" w:after="0"/>
        <w:ind w:firstLine="360" w:firstLineChars="150"/>
      </w:pPr>
      <w:r>
        <w:rPr>
          <w:rFonts w:hint="eastAsia" w:ascii="宋体" w:hAnsi="宋体"/>
          <w:spacing w:val="0"/>
        </w:rPr>
        <w:t>日     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06FDA"/>
    <w:multiLevelType w:val="multilevel"/>
    <w:tmpl w:val="1D306FDA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539DB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9E790D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6007A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6F5AF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2023-11-27T06:35:09Z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B15326C1EDF047F9A4C7B297A654BFF3</vt:lpwstr>
  </property>
</Properties>
</file>